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Договор оферты (редакция от 10 марта 2016 года)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ДОГОВОР КУПЛИ – ПРОДАЖИ №_____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г. Мончегорск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от «___» ____________ 20__ г. 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Общество с ограниченной ответственностью «Авто Арсенал», ИНН 5107914045, адрес места регистрации 184511, г. Мончегорск, пр. </w:t>
      </w:r>
      <w:proofErr w:type="gram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Металлургов, д. 35, 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оф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. 16 (далее – «Продавец»), с одной стороны, и, ________________________________________ (далее – «Покупатель»), с другой стороны, заключили настоящий договор, (далее – «Договор»), о нижеследующем:</w:t>
      </w:r>
      <w:proofErr w:type="gramEnd"/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br/>
      </w: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1. ПРЕДМЕТ ДОГОВОРА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Продавец поставляет и передает, а Покупатель получает и оплачивает запасные части, аксессуары и технические жидкости для автомобилей различных моделей (далее – «Товар»), согласно заказу</w:t>
      </w:r>
      <w:proofErr w:type="gram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(-</w:t>
      </w:r>
      <w:proofErr w:type="spellStart"/>
      <w:proofErr w:type="gram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ам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) (далее – «Заказ»).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2. ОБЩИЕ ПОЛОЖЕНИЯ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2.1.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  <w:proofErr w:type="gram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Заказ — перечень из одного или нескольких наименований (позиций) Товара, объединенных одним номером Заказа, содержащий информацию о количестве Товара, его производителе (-лях), сроке (-ах) поставки, месте назначения поставки Товара, цене, о прочих условиях.</w:t>
      </w:r>
      <w:proofErr w:type="gram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Заказ является неотъемлемой частью Договора, нумеруется и имеет идентифицирующие его с Договором признаки: ссылку на номер Договора, дату его заключения.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2.2.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Заказ исполняется после поступления предоплаты в кассу или на расчетный счет Продавца. Исполнение Заказа начинается до конца следующего рабочего дня (за расчет принимается пятидневная рабочая неделя с двумя выходными днями), в случае если этот момент приходится на выходной или праздничный день, срок начала исполнения Заказа отодвигается соответственно на количество таких дней. Срок поставки Товара является ориентировочным. Срок поставки Товара, указанный в Заказе, пресекается в момент информирования Покупателя посредством телефонной (проводной/беспроводной) либо электронных сре</w:t>
      </w:r>
      <w:proofErr w:type="gram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дств св</w:t>
      </w:r>
      <w:proofErr w:type="gram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язи о возможности получения Товара у Продавца, при этом датой фактической поставки Товара является дата передачи Товара Продавцом Покупателю. Факт информирования Покупателя фиксируется в электронной системе Продавца. Максимальный срок поставки Товара – не более 30 дней после окончания ориентировочного срока.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2.3.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Право собственности на Товар и связанные с ним риски переходит от Продавца к Покупателю в момент передачи Товара. При получении Товара Покупатель предъявляет Продавцу доказательство оплаты Товара, указывает номер Заказа. При отсутствии претензий по ассортименту, количеству и качеству Товара, подписывает накладную, один экземпляр которой остается у Покупателя, второй передается Продавцу.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2.4.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В случае если Товар не поставлен Продавцом, а Покупатель не заявил требования о возврате уплаченных денежных средств, Покупатель не вправе требовать от Продавца штрафных санкций в виде оплаты за пользование чужими денежными средствами.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2.5.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Настоящий Договор, размещенный по адресу </w:t>
      </w:r>
      <w:hyperlink r:id="rId4" w:history="1">
        <w:r w:rsidRPr="00644A7B">
          <w:rPr>
            <w:rFonts w:ascii="Verdana" w:eastAsia="Times New Roman" w:hAnsi="Verdana" w:cs="Times New Roman"/>
            <w:b/>
            <w:bCs/>
            <w:color w:val="0000FF"/>
            <w:sz w:val="14"/>
            <w:u w:val="single"/>
          </w:rPr>
          <w:t> </w:t>
        </w:r>
      </w:hyperlink>
      <w:hyperlink r:id="rId5" w:history="1">
        <w:r w:rsidRPr="00644A7B">
          <w:rPr>
            <w:rFonts w:ascii="Verdana" w:eastAsia="Times New Roman" w:hAnsi="Verdana" w:cs="Times New Roman"/>
            <w:b/>
            <w:bCs/>
            <w:color w:val="0000FF"/>
            <w:sz w:val="14"/>
            <w:u w:val="single"/>
          </w:rPr>
          <w:t>http://arsenalparts.ru/dogovor-oferti/</w:t>
        </w:r>
      </w:hyperlink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и на информационных стендах в обособленных подразделениях (ОП) Продавца, является договором присоединения. Проведение оплаты за Товар, считается акцептом Покупателя условий Договора и/или Заказа.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 ПРАВА И ОБЯЗАННОСТИ СТОРОН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3.1.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Продавец обязан: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3.1.1.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Поставить Товар в соответствии с условиями Заказа и информацией, полученной от Покупателя (п. 3.3.1). Продавец освобождается от ответственности за поставку Товара ненадлежащего качества (возможность применения Товара по назначению), если поставил Товар, точно соответствующий требованиям Покупателя.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3.1.2.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При изменении условий Заказа, оформить (если требуется) новый Заказ.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3.2.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Продавец имеет право: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3.2.1.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Приступить к исполнению Заказа в случае отсутствия предоплаты в соответствии с п. 2.2.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3.2.2.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При отсутствии выбранного Покупателем Товара, отказаться от исполнения Заказа, предложить аналогичный Товар.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3.2.3.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При необходимости, при выдаче Товара, потребовать у Покупателя доказательств идентификации его в качестве стороны настоящего Договора, либо подтверждения полномочий на действия от имени Покупателя.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3.2.4.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Осуществлять видеозапись в помещениях ОП Продавца.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lastRenderedPageBreak/>
        <w:t>3.2.5.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Применить санкции в порядке п. 3.3.4.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3.3.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Покупатель обязан: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3.3.1.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 Предоставлять при оформлении Заказа точное наименование требуемого Товара, его номер по каталогу производителя и/или все данные об автомобиле, необходимые для точной идентификации требуемого Покупателю Товара: VIN — код автомобиля, тип и номер двигателя, наличие (отсутствие) кондиционера, тип и номер КПП, комплектации кузова и салона, наличии/отсутствии конструктивных изменений транспортного средства, переоборудовании автомобиля в части Товара либо смежных с ним узлов/агрегатов или установки нестандартного оборудования или агрегатов как с внесением данных изменений в регистрационные </w:t>
      </w:r>
      <w:proofErr w:type="gram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документы</w:t>
      </w:r>
      <w:proofErr w:type="gram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так и без него, а также, в случае если Покупателю известно, сообщить о возможной фальсификации/неточности VIN — кода или номеров агрегатов. При не предоставлении вышеуказанных данных и/или предоставлении ошибочных сведений, бремя доказывания поставки Продавцом Товара ненадлежащего качества лежит на Покупателе.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3.3.2.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При отсутствии полных данных на автомобиль, к которому подбирается Товар, сообщить об этом Продавцу.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3.3.3.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Оплачивать Товар, согласно Заказам, по указанной в них цене на Товар.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3.3.4.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Принять Товар в течение 7-ми календарных дней с момента уведомления Покупателя о поступлении Товара на склад Продавца. При неисполнении данного обязательства, Покупатель уплачивает неустойку за ненадлежащее исполнение обязательств — 0,1% от размера стоимости Товара за каждый день просрочки. Оплата производится в день получения Товара.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3.4.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Покупатель имеет право: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3.4.1.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Потребовать возврата предоплаты в случаях, предусмотренных законодательством РФ.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3.4.2.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Внести изменения в Заказ до начала его исполнения Продавцом. 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br/>
      </w: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3.4.3.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До передачи ему Товара отказаться от исполнения Договора при условии возмещения расходов, понесенных Продавцом в связи с совершением действий по выполнению настоящего Договора в размере  фактических затрат, но 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неменее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30% от стоимости Товара, а оригинальные и крупногабаритные детали (длинной более 1 метра) не менее 50% от стоимости Товара. Отказаться от Товара, который заказан из-за границы (срок доставки не менее 30 дней) невозможно.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3.4.4.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  <w:proofErr w:type="gram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До заключения настоящего Договора на сайте по адресу </w:t>
      </w:r>
      <w:hyperlink r:id="rId6" w:history="1">
        <w:r w:rsidRPr="00644A7B">
          <w:rPr>
            <w:rFonts w:ascii="Verdana" w:eastAsia="Times New Roman" w:hAnsi="Verdana" w:cs="Times New Roman"/>
            <w:b/>
            <w:bCs/>
            <w:color w:val="0000FF"/>
            <w:sz w:val="14"/>
            <w:u w:val="single"/>
          </w:rPr>
          <w:t> </w:t>
        </w:r>
      </w:hyperlink>
      <w:hyperlink r:id="rId7" w:history="1">
        <w:r w:rsidRPr="00644A7B">
          <w:rPr>
            <w:rFonts w:ascii="Verdana" w:eastAsia="Times New Roman" w:hAnsi="Verdana" w:cs="Times New Roman"/>
            <w:b/>
            <w:bCs/>
            <w:color w:val="0000FF"/>
            <w:sz w:val="14"/>
            <w:u w:val="single"/>
          </w:rPr>
          <w:t>http://arsenalparts.ru</w:t>
        </w:r>
      </w:hyperlink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, на информационных стендах в ОП Продавца ознакомиться с предоставляемой информацией об адресе места нахождения Продавца, его полным фирменным наименованием, иными реквизитами, информацией об основных потребительских свойствах продаваемого Товара, наименовании производителя Товара, о цене и об условиях приобретения Товара, о вариантах его доставки (получения), о порядке предоставления Продавцом гарантии, а</w:t>
      </w:r>
      <w:proofErr w:type="gram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также о сроке, в течение которого действует предложение о заключении настоящего Договора, а в случае отсутствия интересующей Покупателя информации, либо при необходимости получения дополнительных сведении, письменно запросить Продавца о предоставлении таких сведений. Правоотношения и ответственность сторон регулируются нормами законодательства РФ.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Утверждено Приказом № ____ от «___» _____________ 20 __ г.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Приложение № 1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к Договору купли-продажи, утвержденному Приказом № ___ от «___» _____________ 20 __ г.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 ПОЛОЖЕНИЕ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«О гарантии»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1.  Общие условия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1.1.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Возврат Товара Продавцу возможен только в случаях, предусмотренных данным Положением, если иное не вытекает из двустороннего согласования сторон.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1.2.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 Категории Товара: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proofErr w:type="gram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lastRenderedPageBreak/>
        <w:t>— «оригинальный» — товар, изготовленный производителем автотранспортного средства, что подтверждается соответствующей упаковкой или товарным знаком производителя, отраженном непосредственно на Товаре (его упаковке);</w:t>
      </w:r>
      <w:proofErr w:type="gramEnd"/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— «восстановленный» — разобранный на заводе-производителе товар, чьи отдельные компоненты были очищены, протестированы; </w:t>
      </w:r>
      <w:proofErr w:type="gram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отремонтированы</w:t>
      </w:r>
      <w:proofErr w:type="gram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/переработаны или заменены; после чего были проведены сборка и тестирование таким образом, чтобы товар соответствовал заданным характеристикам и обеспечивался нормальной гарантией завода-производителя;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— «неоригинальный» (заменитель) — товар, изготовленный производителем, не являющимся производителем автотранспортного средства, что подтверждается соответствующей упаковкой и указанным на ней каталожным номером Товара.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1.2.1.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Качество Товара соответствует стандартам соответствующей категории Товара.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1.2.2.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Товар всех категорий в виде крепежных элементов, некоторых видов уплотнений не подлежит маркировке производителями и поставляется без упаковки и какой-либо иной идентификации производителя, но при этом соответствует своему назначению.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1.3.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Заказ (либо его часть, в случае, если товары, указанные в различных частях Заказа, не являются комплектом) считается исполненным в момент фактической передачи Товара Покупателю на основании подписанных Покупателем либо его надлежаще уполномоченного представителем приложений к Договору.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1.4.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Под комплектом понимается определенный набор Товаров из двух или более отдельных компонентов, для использования его в целях, вытекающих из назначения объединяемых Товаров, поставляемых совместно, дополняющих друг друга, и очевидно предназначенных для совместного использования, комплекту присваивается единый каталожный номер. Товары, входящие в комплект как его составные части, возврату или обмену подлежат только в составе комплекта. По договоренности Сторон Товары, составляющие комплект могут передаваться Покупателю в разное время в течение срока действия вышеуказанного договора.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1.5.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По исполнении Заказа (либо его части) обязательства Продавца перед Покупателем считаются выполненными. При передаче Покупателю комплекта, обязательства Продавца считаются исполненными с момента передачи всех товаров, составляющих комплект.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1.6.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  <w:proofErr w:type="gram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В настоящем положении под станцией технического обслуживания (по тексту также «СТО», «СТОА», «Сервис»), понимается юридическое лицо либо индивидуальный предприниматель, осуществляющие свою деятельность в рамках норм законодательства РФ, в частности, Постановления Правительства РФ от 11 апреля 2001 г. N 290 «Об утверждении Правил оказания услуг (выполнения работ) по техническому обслуживанию и ремонту автомототранспортных средств»,  Руководящего документа РД 37.009.026-92 «Положение о</w:t>
      </w:r>
      <w:proofErr w:type="gram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 техническом </w:t>
      </w:r>
      <w:proofErr w:type="gram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обслуживании</w:t>
      </w:r>
      <w:proofErr w:type="gram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и ремонте автотранспортных средств, принадлежащих гражданам (легковые и грузовые автомобили, автобусы, 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минитрактора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)» (утв. приказом по Департаменту автомобильной промышленности 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Минпрома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РФ от 1 ноября 1992 г. N 43).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2.Условия возврата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2.1.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Возврат Товара надлежащего качества возможен только в случае сохранения целостности и </w:t>
      </w:r>
      <w:proofErr w:type="gram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чистоты</w:t>
      </w:r>
      <w:proofErr w:type="gram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как упаковки, так и Товара, а также наличия штрих-кода с номером заказа на упаковке, либо непосредственно на самом Товаре. При нарушенной, загрязненной или отсутствующей упаковке, или иных случаях «нетоварного» вида Товара, Продавец вправе отказать Покупателю в возврате. Срок возврата Товара надлежащего качества устанавливается действующим законодательством РФ.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2.2. 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Возврат Товара ненадлежащего качества возможен при выполнении сторонами условий, установленными </w:t>
      </w:r>
      <w:proofErr w:type="gram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ч</w:t>
      </w:r>
      <w:proofErr w:type="gram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. 3 настоящего Положения.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2.3.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 Покупатель проверяет Товар при получении с целью выявления возможных механических повреждений, полноты комплектности и ассортимента (соответствия каталожных номеров </w:t>
      </w:r>
      <w:proofErr w:type="gram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заказанным</w:t>
      </w:r>
      <w:proofErr w:type="gram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). Продавец не принимает претензии по внешним недостаткам Товара, его количественного и ассортиментного несоответствия после приемки Товара Покупателем и проставления последним подписи в соответствующем приложении к Договору. Отсутствие подписанных Покупателем приложений к Договору, свидетельствующих об отсутствии претензий Покупателя к Товару, не лишает Продавца права ссылаться на иные средства доказывания подтверждения продажи Покупателю Товара надлежащего качества и в необходимом Покупателю количестве.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2.4.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  <w:proofErr w:type="gram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Товар, в виде кузовных листовых деталей, имеющий повреждения, не влияющие на его потребительские свойства и исправляемые в ходе подготовки к установке на автомобиль, а также пластиковые кузовные детали, идущие под покраску и имеющие потертости, царапины и другие повреждения, а равно и все виды Товара, которые могут быть восстановлены при дальнейшей установке на транспортное средство, являются Товаром надлежащего качества.</w:t>
      </w:r>
      <w:proofErr w:type="gramEnd"/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2.5.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 В случае замены производителем Товара каталожных номеров Товара и/или произведенной производителем Товара замены Товара на аналогичный Товар другого производителя, если это не влияет на потребительские свойства </w:t>
      </w:r>
      <w:proofErr w:type="gram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Товара</w:t>
      </w:r>
      <w:proofErr w:type="gram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и он может быть использован Покупателем по назначению без ущерба качеству и основным потребительским свойствам, качество Товара считается надлежащим. Возврат такого Товара возможен в порядке, установленном п. 2.1. настоящего Положения.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 Гарантийные обязательства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3.1.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Гарантия на товар категории оригинальный: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lastRenderedPageBreak/>
        <w:t>3.1.1. 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Товар категории оригинальный, изготовленный 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автопроизводителями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автотранспортных средств, устанавливается у соответствующего официального дилера, который, при наступлении гарантийного случая, выдает пакет документов, подтверждающих заводской </w:t>
      </w:r>
      <w:proofErr w:type="gram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брак Товара</w:t>
      </w:r>
      <w:proofErr w:type="gram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. Такие документы вместе с Товаром направляются Покупателем в адрес Продавца для дальнейших гарантийных процедур.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3.1.2.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Гарантия на Товар устанавливается только при условии установки Товара на транспортное средство на станции технического обслуживания официального дилера соответствующего производителя. Гарантийный срок составляет 6 месяцев, в случае если производителем Товара установлен более длительный гарантийный срок, то гарантийные сроки соответствуют установленным производителем Товара на территории Российской Федерации. При этом применяются условия гарантии, установленные соответствующим производителем.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3.1.3.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 Гарантия на запасные части 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Ford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и 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Motorcraft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регламентируютя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Приложением №2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к настоящему Договору.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3.2.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     Гарантийный срок на товар категории неоригинальный: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3.2.1.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  Гарантия устанавливается только при условии установки Товара на транспортное средство на станции технического обслуживания, соответствующей условиям п. 1.6. Гарантийный срок составляет 30 дней.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3.2.2.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В случае если производителем Товара установлен более длительный гарантийный срок, то гарантийные сроки соответствуют установленным производителем Товара на территории Российской Федерации. При этом применяются условия гарантии, установленные соответствующим производителем,  указанные в гарантийных талонах и иных документах производителя.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3.3. 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Гарантийный срок исчисляется с момента получения Товара Покупателем.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3.4. 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Гарантия на товар производителя BOSCH: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3.4.1.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Гарантийный срок составляет 1 год.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3.4.2.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Гарантия на Товар устанавливается только при установке в специализированных Сервисах BOSCH, список которых установлен на официальном сайте данного производителя.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3.4.3.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Данные правила не распространяются на аккумуляторные батареи, для которых применяются правила, установленные п. 3.2. настоящего Положения.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3.5.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Гарантийный обмен товара производителя BOSCH либо возврат уплаченных за Товар денежных сре</w:t>
      </w:r>
      <w:proofErr w:type="gram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дств пр</w:t>
      </w:r>
      <w:proofErr w:type="gram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оизводится на основании положительного заключения экспертизы (гарантийного протокола), выданного специализированным Сервисом BOSCH, осуществляющим гарантийное обслуживание.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3.6.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Гарантия на восстановленный товар, в зависимости от его категории, установлена соответственно п. 3.1. и п. 3.2. настоящего Положения.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4. Обстоятельства, исключающие возврат Товара</w:t>
      </w:r>
    </w:p>
    <w:p w:rsid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4.1.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Продавец освобождается от ответственности за применимость Товара автомобилю Покупателя, в случае самостоятельного оформления Покупателем Заказа через Интернет, без запроса Продавца провести проверку правильности подбора Товара, согласно исходным данным транспортного средства, для которого Товар приобретается. Запрос отправляется Продавцу в электронном виде, оформляется Продавцом в виде бланка с присвоенным ему номером, и возвращается Покупателю с результатами проверки. В случае отсутствия указанного выше запроса, и совпадения номеров поставленного Продавцом Товара и заказанного Покупателем, обязательства Продавца считаются надлежаще исполненными.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color w:val="000000"/>
          <w:sz w:val="14"/>
          <w:szCs w:val="14"/>
        </w:rPr>
        <w:t>4.1.1.</w:t>
      </w:r>
      <w:r>
        <w:rPr>
          <w:rFonts w:ascii="Verdana" w:eastAsia="Times New Roman" w:hAnsi="Verdana" w:cs="Times New Roman"/>
          <w:b/>
          <w:color w:val="000000"/>
          <w:sz w:val="14"/>
          <w:szCs w:val="14"/>
        </w:rPr>
        <w:t xml:space="preserve"> </w:t>
      </w:r>
      <w:r>
        <w:rPr>
          <w:rFonts w:ascii="Verdana" w:eastAsia="Times New Roman" w:hAnsi="Verdana" w:cs="Times New Roman"/>
          <w:color w:val="000000"/>
          <w:sz w:val="14"/>
          <w:szCs w:val="14"/>
        </w:rPr>
        <w:t xml:space="preserve">Товар надлежащего </w:t>
      </w:r>
      <w:proofErr w:type="gramStart"/>
      <w:r>
        <w:rPr>
          <w:rFonts w:ascii="Verdana" w:eastAsia="Times New Roman" w:hAnsi="Verdana" w:cs="Times New Roman"/>
          <w:color w:val="000000"/>
          <w:sz w:val="14"/>
          <w:szCs w:val="14"/>
        </w:rPr>
        <w:t>качества</w:t>
      </w:r>
      <w:proofErr w:type="gramEnd"/>
      <w:r>
        <w:rPr>
          <w:rFonts w:ascii="Verdana" w:eastAsia="Times New Roman" w:hAnsi="Verdana" w:cs="Times New Roman"/>
          <w:color w:val="000000"/>
          <w:sz w:val="14"/>
          <w:szCs w:val="14"/>
        </w:rPr>
        <w:t xml:space="preserve"> заказанный из-за границы возврату не подлежит. Срок доставки такого товара на сайте указан не менее 30 дней.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4.2.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В случае если Товар возвращается согласно ст. 25, ч. 4 ст. 26.1  Закона РФ «О защите прав потребителей», ответственность Продавца в причинении Покупателю убытков не предусматривается.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4.2.1. 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Товар входит в Перечень непродовольственных товаров надлежащего качества, не подлежащих возврату или обмену на аналогичный товар других размера, формы, габарита, фасона, расцветки или комплектации (утв. постановлением Правительства РФ от 19 января 1998 г. N 55).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4.3.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При предъявлении Продавцу претензий относительно качества Товара, для проведения Продавцом проверки качества Товара, Покупателю необходимо предоставить Продавцу: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1. Заказ-наряд на установку Товара на транспортное средство, выписанный СТОА, </w:t>
      </w:r>
      <w:proofErr w:type="gram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действующей</w:t>
      </w:r>
      <w:proofErr w:type="gram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, согласно п. 1.6., или соответствующим официальным дилером.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2. Заказ-наряд обязательно содержит следующие сведения: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а) государственный номер автомобиля;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lastRenderedPageBreak/>
        <w:t>б) ФИО владельца автомобиля;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в) марка автомобиля, тип двигателя;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г) работы и их стоимость, выполненные в ходе установки Товара, а также сопутствующие в обязательном порядке работы по замене сопряженных узлов и агрегатов;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д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) идентификационный номер автомобиля — VIN-код (17-значный номер, прописанный в техническом паспорте автомобиля). Для автомобилей с номером шасси (рамной конструкцией) необходимо указать номер шасси.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3. Сертификат соответствия (если обязателен) Сервиса на проведение данного вида работ (копия, заверенная печатью СТОА).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4. Платежные документы, подтверждающие оплату услуг Сервиса (копия кассового чека).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5. Заключение Сервиса о причинах неработоспособности Товара (Акт 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дефектовки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), выполненное на фирменном бланке, подписанное уполномоченным лицом Сервиса, с указанием используемого </w:t>
      </w:r>
      <w:proofErr w:type="gram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при</w:t>
      </w:r>
      <w:proofErr w:type="gram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диагностики оборудования с подтверждением соответствия  оборудования установленным 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ГОСТам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. При установке товаров 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электрогруппы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в заключени</w:t>
      </w:r>
      <w:proofErr w:type="gram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и</w:t>
      </w:r>
      <w:proofErr w:type="gram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Сервиса должна быть информация о проведенной диагностике автомобиля на предмет выявления причин выхода из строя заменяемой детали.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4.4.</w:t>
      </w: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Гарантия на Товар не распространяется в следующих случаях: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— повреждение Товара в результате ДТП или небрежной эксплуатации;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— неисправности Товара, применяемого в топливной системе и системы выпуска автотранспортного средства, вследствие использования некачественного топлива (в том числе из-за загрязнения или применения этилированного бензина или несезонного дизельного топлива);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— повреждения (в том числе подвески и рулевого управления), возникшие из-за неаккуратного вождения на неровностях дорог, сопряженного с ударными нагрузками на детали автомобиля;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— шум (скрип, писк) тормозов;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— внешние повреждения стекол кузова и приборов освещения;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— эксплуатационный износ и естественное изменение состояния (в том числе старение) такого Товара как щетки стеклоочистителя, приводные ремни, тормозные колодки, диски и барабаны, диски сцепления, свечи зажигания и т.п.;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— расходные детали и материалы (в том числе масло, фильтры, предохранители, лампы и т.п.);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— не парно замененные детали ходовой части автомобиля (пружины, амортизаторы, стойки стабилизатора);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— на амортизаторы, замененные в количестве менее 2 штук на одну ось автомобиля и без замены защитных комплектов (отбойник плюс пыльник) и установочного комплекта (верхняя опора стойки 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Макферсон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);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— дефекты, неисправности или коррозия запасных частей, возникшие в результате воздействия промышленных и химических выбросов, кислотного или щелочного загрязнения воздуха, растительного сока, продуктов жизнедеятельности птиц и животных, химически активных веществ, в том числе применяемых для борьбы с обледенением дорог, града, молнии и прочих природных явлений;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— электрические запасные части, относящиеся к категории неоригинальные, за исключением товаров отдельных производителей, указанных в настоящем Положении;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— если Товар неоригинальной категории отличается цветом, химическим составом материала или имеет несущественные технологические отличия от аналогичного товара оригинальной категории, но при этом Товар является Товаром надлежащего качества.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Утверждено Приказом № ____ от  «___» _____________ 20 __ г.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Приложение № 2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к Договору купли-продажи, утвержденному Приказом № ___ от «___» _____________ 20 __ г.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 xml:space="preserve">Гарантия на запасные части </w:t>
      </w:r>
      <w:proofErr w:type="spellStart"/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Ford</w:t>
      </w:r>
      <w:proofErr w:type="spellEnd"/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 xml:space="preserve"> и </w:t>
      </w:r>
      <w:proofErr w:type="spellStart"/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Motorcraft</w:t>
      </w:r>
      <w:proofErr w:type="spellEnd"/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 xml:space="preserve">Информация (памятка) для владельца автомобиля </w:t>
      </w:r>
      <w:proofErr w:type="spellStart"/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Ford</w:t>
      </w:r>
      <w:proofErr w:type="spellEnd"/>
      <w:r w:rsidRPr="00644A7B">
        <w:rPr>
          <w:rFonts w:ascii="Verdana" w:eastAsia="Times New Roman" w:hAnsi="Verdana" w:cs="Times New Roman"/>
          <w:b/>
          <w:bCs/>
          <w:color w:val="000000"/>
          <w:sz w:val="14"/>
        </w:rPr>
        <w:t>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На запасные части 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Ford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и 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Motorcraft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(кроме </w:t>
      </w:r>
      <w:proofErr w:type="gram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предлагаемых</w:t>
      </w:r>
      <w:proofErr w:type="gram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под брендом поставщика) распространяется гарантия производителя. Сроки гарантии, актуальные на данный момент, Вы можете уточнить у обслуживающей Вас организации. На большинство запасных частей установлен срок гарантии 12 месяцев: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</w:p>
    <w:tbl>
      <w:tblPr>
        <w:tblW w:w="0" w:type="auto"/>
        <w:tblInd w:w="124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3326"/>
      </w:tblGrid>
      <w:tr w:rsidR="00644A7B" w:rsidRPr="00644A7B" w:rsidTr="00644A7B">
        <w:trPr>
          <w:trHeight w:val="284"/>
        </w:trPr>
        <w:tc>
          <w:tcPr>
            <w:tcW w:w="3261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7B" w:rsidRPr="00644A7B" w:rsidRDefault="00644A7B" w:rsidP="00644A7B">
            <w:pPr>
              <w:spacing w:before="100" w:beforeAutospacing="1" w:after="100" w:afterAutospacing="1" w:line="240" w:lineRule="auto"/>
              <w:ind w:left="109" w:right="109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44A7B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Элемент</w:t>
            </w:r>
          </w:p>
        </w:tc>
        <w:tc>
          <w:tcPr>
            <w:tcW w:w="3326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7B" w:rsidRPr="00644A7B" w:rsidRDefault="00644A7B" w:rsidP="00644A7B">
            <w:pPr>
              <w:spacing w:before="100" w:beforeAutospacing="1" w:after="100" w:afterAutospacing="1" w:line="240" w:lineRule="auto"/>
              <w:ind w:left="109" w:right="109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44A7B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Продолжительность гарантии</w:t>
            </w:r>
          </w:p>
        </w:tc>
      </w:tr>
      <w:tr w:rsidR="00644A7B" w:rsidRPr="00644A7B" w:rsidTr="00644A7B">
        <w:trPr>
          <w:trHeight w:val="268"/>
        </w:trPr>
        <w:tc>
          <w:tcPr>
            <w:tcW w:w="3261" w:type="dxa"/>
            <w:tcBorders>
              <w:top w:val="nil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7B" w:rsidRPr="00644A7B" w:rsidRDefault="00644A7B" w:rsidP="00644A7B">
            <w:pPr>
              <w:spacing w:before="100" w:beforeAutospacing="1" w:after="100" w:afterAutospacing="1" w:line="240" w:lineRule="auto"/>
              <w:ind w:left="109" w:right="109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44A7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Все элементы кроме </w:t>
            </w:r>
            <w:proofErr w:type="gramStart"/>
            <w:r w:rsidRPr="00644A7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указанных</w:t>
            </w:r>
            <w:proofErr w:type="gramEnd"/>
            <w:r w:rsidRPr="00644A7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ниже.</w:t>
            </w:r>
          </w:p>
        </w:tc>
        <w:tc>
          <w:tcPr>
            <w:tcW w:w="3326" w:type="dxa"/>
            <w:tcBorders>
              <w:top w:val="nil"/>
              <w:left w:val="nil"/>
              <w:bottom w:val="dashed" w:sz="8" w:space="0" w:color="000000"/>
              <w:right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7B" w:rsidRPr="00644A7B" w:rsidRDefault="00644A7B" w:rsidP="00644A7B">
            <w:pPr>
              <w:spacing w:before="100" w:beforeAutospacing="1" w:after="100" w:afterAutospacing="1" w:line="240" w:lineRule="auto"/>
              <w:ind w:left="109" w:right="109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44A7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 месяцев/без ограничения пробега.</w:t>
            </w:r>
          </w:p>
        </w:tc>
      </w:tr>
      <w:tr w:rsidR="00644A7B" w:rsidRPr="00644A7B" w:rsidTr="00644A7B">
        <w:trPr>
          <w:trHeight w:val="853"/>
        </w:trPr>
        <w:tc>
          <w:tcPr>
            <w:tcW w:w="3261" w:type="dxa"/>
            <w:tcBorders>
              <w:top w:val="nil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7B" w:rsidRPr="00644A7B" w:rsidRDefault="00644A7B" w:rsidP="00644A7B">
            <w:pPr>
              <w:spacing w:before="100" w:beforeAutospacing="1" w:after="100" w:afterAutospacing="1" w:line="240" w:lineRule="auto"/>
              <w:ind w:left="109" w:right="109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44A7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Элементы, включенные в программу планового обслуживания (включая ремень газораспределительного механизма).</w:t>
            </w:r>
          </w:p>
        </w:tc>
        <w:tc>
          <w:tcPr>
            <w:tcW w:w="3326" w:type="dxa"/>
            <w:tcBorders>
              <w:top w:val="nil"/>
              <w:left w:val="nil"/>
              <w:bottom w:val="dashed" w:sz="8" w:space="0" w:color="000000"/>
              <w:right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7B" w:rsidRPr="00644A7B" w:rsidRDefault="00644A7B" w:rsidP="00644A7B">
            <w:pPr>
              <w:spacing w:before="100" w:beforeAutospacing="1" w:after="100" w:afterAutospacing="1" w:line="240" w:lineRule="auto"/>
              <w:ind w:left="109" w:right="109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44A7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12 месяцев или до наступления срока ближайшей плановой замены, в зависимости от того, что наступит раньше.</w:t>
            </w:r>
          </w:p>
        </w:tc>
      </w:tr>
      <w:tr w:rsidR="00644A7B" w:rsidRPr="00644A7B" w:rsidTr="00644A7B">
        <w:trPr>
          <w:trHeight w:val="569"/>
        </w:trPr>
        <w:tc>
          <w:tcPr>
            <w:tcW w:w="3261" w:type="dxa"/>
            <w:tcBorders>
              <w:top w:val="nil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7B" w:rsidRPr="00644A7B" w:rsidRDefault="00644A7B" w:rsidP="00644A7B">
            <w:pPr>
              <w:spacing w:before="100" w:beforeAutospacing="1" w:after="100" w:afterAutospacing="1" w:line="240" w:lineRule="auto"/>
              <w:ind w:left="109" w:right="109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44A7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Элементы из листового металла/кузовные панели.</w:t>
            </w:r>
          </w:p>
        </w:tc>
        <w:tc>
          <w:tcPr>
            <w:tcW w:w="3326" w:type="dxa"/>
            <w:tcBorders>
              <w:top w:val="nil"/>
              <w:left w:val="nil"/>
              <w:bottom w:val="dashed" w:sz="8" w:space="0" w:color="000000"/>
              <w:right w:val="dash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A7B" w:rsidRPr="00644A7B" w:rsidRDefault="00644A7B" w:rsidP="00644A7B">
            <w:pPr>
              <w:spacing w:before="100" w:beforeAutospacing="1" w:after="100" w:afterAutospacing="1" w:line="240" w:lineRule="auto"/>
              <w:ind w:left="109" w:right="109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44A7B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 лет/без ограничения пробега.</w:t>
            </w:r>
          </w:p>
        </w:tc>
      </w:tr>
    </w:tbl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i/>
          <w:iCs/>
          <w:color w:val="000000"/>
          <w:sz w:val="14"/>
        </w:rPr>
        <w:t>ПРИМЕЧАНИЕ: Гарантия на элементы из листового металла и кузовные панели охватывает только дефекты материала и изготовления.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Гарантия на оригинальную запасную часть начинается </w:t>
      </w:r>
      <w:proofErr w:type="gram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с даты приобретения</w:t>
      </w:r>
      <w:proofErr w:type="gram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запасной части у розничного продавца запасных частей 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Ford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 Если запасные части установлены авторизованным дилером и оплачены (полностью или частично) клиентом, то дата начала действия гарантии на запасные части — это дата установки запасной части авторизованным дилером.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 Гарантия распространяется только на дефекты материала или изготовления. Гарантия не покрывает выходы из строя запасных частей, вызванные монтажом или установкой не в соответствии с ремонтными инструкциями 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Ford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, неверным установлением причины неисправности автомобиля, установкой запасной части на автомобиль, для которого она не предназначена изготовителем и иных подобных причин. Всех этих рисков Вы сможете избежать, если обратитесь для установки приобретенных Вами запасных частей 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Ford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и 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Motorcraft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к официальному дилеру 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Ford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 Если Вы подозреваете, что запасная часть 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Ford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или 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Motorcratf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, приобретенная и установленная на автомобиль, вышла из строя в течение срока гарантии на запасную часть по причине дефекта материала или изготовления, Вам нужно обратиться к ближайшему официальному дилеру 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Ford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для диагностики причины неисправности и ее устранения. При подтверждении дефекта материала или изготовления запасной части дилер выполнит ремонт Вашего автомобиля по гарантии на запасную часть. Оплату стоимости диагностики, ремонта и замененных запасных частей берет на себя 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Ford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Motor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Company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. Если по результатам диагностики не подтверждается подозрение о том, что неисправность автомобиля вызвана дефектом материала или изготовления приобретенной запасной части, оплата выполненных работ производится клиентом. Затраты на эвакуацию по гарантии на запасную часть не компенсируются.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Перед выполнением ремонтных/диагностических процедур дилер должен получить копию документа, подтверждающего первичную реализацию данной запасной части официальным дилером на территории РФ и узнать ориентировочный пробег автомобиля, в течение которого эксплуатировалась данная запасная часть. Документы, подтверждающие происхождение запасной части, необходимо запросить у обслуживающей Вас организации, где была приобретена запасная часть. С целью экономии времени эти данные обычно отправляются напрямую инженеру по гарантии дилерского предприятия 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Ford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, в которое Вы обратились.</w:t>
      </w: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644A7B" w:rsidRPr="00644A7B" w:rsidRDefault="00644A7B" w:rsidP="0064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Следует помнить, что в большинстве случаев после демонтажа запасной части с автомобиля причину и даже сам факт неисправности установить невозможно. Поэтому при возникновении подозрений, что неисправность автомобиля вызвана дефектом приобретенной оригинальной запасной части или аксессуара 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Ford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или 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Motorcraft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нужно незамедлительно предоставить автомобиль ближайшему официальному дилеру </w:t>
      </w:r>
      <w:proofErr w:type="spellStart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>Ford</w:t>
      </w:r>
      <w:proofErr w:type="spellEnd"/>
      <w:r w:rsidRPr="00644A7B">
        <w:rPr>
          <w:rFonts w:ascii="Verdana" w:eastAsia="Times New Roman" w:hAnsi="Verdana" w:cs="Times New Roman"/>
          <w:color w:val="000000"/>
          <w:sz w:val="14"/>
          <w:szCs w:val="14"/>
        </w:rPr>
        <w:t xml:space="preserve"> для диагностики и устранения дефекта.</w:t>
      </w:r>
    </w:p>
    <w:p w:rsidR="00C9306A" w:rsidRDefault="00C9306A"/>
    <w:sectPr w:rsidR="00C9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4A7B"/>
    <w:rsid w:val="00644A7B"/>
    <w:rsid w:val="00C9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4A7B"/>
    <w:rPr>
      <w:b/>
      <w:bCs/>
    </w:rPr>
  </w:style>
  <w:style w:type="character" w:styleId="a5">
    <w:name w:val="Hyperlink"/>
    <w:basedOn w:val="a0"/>
    <w:uiPriority w:val="99"/>
    <w:semiHidden/>
    <w:unhideWhenUsed/>
    <w:rsid w:val="00644A7B"/>
    <w:rPr>
      <w:color w:val="0000FF"/>
      <w:u w:val="single"/>
    </w:rPr>
  </w:style>
  <w:style w:type="character" w:styleId="a6">
    <w:name w:val="Emphasis"/>
    <w:basedOn w:val="a0"/>
    <w:uiPriority w:val="20"/>
    <w:qFormat/>
    <w:rsid w:val="00644A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senalpart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senalparts.ru/" TargetMode="External"/><Relationship Id="rId5" Type="http://schemas.openxmlformats.org/officeDocument/2006/relationships/hyperlink" Target="http://arsenalparts.ru/dogovor-oferti/" TargetMode="External"/><Relationship Id="rId4" Type="http://schemas.openxmlformats.org/officeDocument/2006/relationships/hyperlink" Target="http://arsenalparts.ru/dogovor-ofert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3553</Words>
  <Characters>20257</Characters>
  <Application>Microsoft Office Word</Application>
  <DocSecurity>0</DocSecurity>
  <Lines>168</Lines>
  <Paragraphs>47</Paragraphs>
  <ScaleCrop>false</ScaleCrop>
  <Company>Grizli777</Company>
  <LinksUpToDate>false</LinksUpToDate>
  <CharactersWithSpaces>23763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Авто арсенал</dc:creator>
  <cp:keywords/>
  <dc:description/>
  <cp:lastModifiedBy>ООО Авто арсенал</cp:lastModifiedBy>
  <cp:revision>2</cp:revision>
  <dcterms:created xsi:type="dcterms:W3CDTF">2019-06-01T14:27:00Z</dcterms:created>
  <dcterms:modified xsi:type="dcterms:W3CDTF">2019-06-01T14:30:00Z</dcterms:modified>
</cp:coreProperties>
</file>